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6D17E3" w:rsidRDefault="006D17E3" w:rsidP="002A48A7">
            <w:pPr>
              <w:spacing w:beforeLines="100" w:before="240" w:afterLines="100" w:after="240"/>
              <w:rPr>
                <w:rFonts w:ascii="Archivo Narrow" w:hAnsi="Archivo Narrow"/>
                <w:b/>
                <w:sz w:val="24"/>
              </w:rPr>
            </w:pPr>
            <w:r w:rsidRPr="006D17E3">
              <w:rPr>
                <w:rFonts w:ascii="Archivo Narrow" w:hAnsi="Archivo Narrow"/>
                <w:b/>
                <w:sz w:val="24"/>
              </w:rPr>
              <w:t>Animal Care Volunteer</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6D17E3" w:rsidRDefault="006D17E3" w:rsidP="002A48A7">
            <w:pPr>
              <w:spacing w:beforeLines="100" w:before="240" w:afterLines="100" w:after="240"/>
              <w:rPr>
                <w:rFonts w:ascii="Archivo Narrow" w:hAnsi="Archivo Narrow"/>
                <w:b/>
                <w:sz w:val="24"/>
              </w:rPr>
            </w:pPr>
            <w:r w:rsidRPr="006D17E3">
              <w:rPr>
                <w:rFonts w:ascii="Archivo Narrow" w:hAnsi="Archivo Narrow"/>
                <w:b/>
                <w:sz w:val="24"/>
              </w:rPr>
              <w:t>Church Knowle, Dorset</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106045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bookmarkStart w:id="0" w:name="_GoBack"/>
      <w:bookmarkEnd w:id="0"/>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ivo Narrow">
    <w:altName w:val="Times New Roman"/>
    <w:panose1 w:val="00000000000000000000"/>
    <w:charset w:val="00"/>
    <w:family w:val="auto"/>
    <w:pitch w:val="variable"/>
    <w:sig w:usb0="A000002F" w:usb1="500000FB" w:usb2="00000000" w:usb3="00000000" w:csb0="000001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6D17E3">
      <w:rPr>
        <w:rStyle w:val="PageNumber"/>
        <w:rFonts w:ascii="Calibri" w:hAnsi="Calibri"/>
        <w:noProof/>
      </w:rPr>
      <w:t>1</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D17E3"/>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055766"/>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B76C-8D10-4575-8B4B-4A0D8AE3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744</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2023-05-03T09:51:00Z</dcterms:modified>
</cp:coreProperties>
</file>